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31DBF" w14:textId="00D0489E" w:rsidR="00572EC0" w:rsidRPr="00752D61" w:rsidRDefault="00752D61" w:rsidP="00752D61">
      <w:pPr>
        <w:jc w:val="center"/>
        <w:rPr>
          <w:b/>
          <w:bCs/>
        </w:rPr>
      </w:pPr>
      <w:r w:rsidRPr="00752D61">
        <w:rPr>
          <w:b/>
          <w:bCs/>
          <w:u w:val="single"/>
        </w:rPr>
        <w:t>S</w:t>
      </w:r>
      <w:r w:rsidR="00D161C8" w:rsidRPr="00752D61">
        <w:rPr>
          <w:b/>
          <w:bCs/>
          <w:u w:val="single"/>
        </w:rPr>
        <w:t>aldo</w:t>
      </w:r>
      <w:r w:rsidR="00D161C8" w:rsidRPr="00752D61">
        <w:rPr>
          <w:b/>
          <w:bCs/>
        </w:rPr>
        <w:t xml:space="preserve"> della bilancia dei pagamenti</w:t>
      </w:r>
      <w:r w:rsidR="009534BE" w:rsidRPr="00752D61">
        <w:rPr>
          <w:b/>
          <w:bCs/>
        </w:rPr>
        <w:t xml:space="preserve"> e Variazione delle Riserve Ufficiali</w:t>
      </w:r>
    </w:p>
    <w:p w14:paraId="47AA47EA" w14:textId="573548CD" w:rsidR="00D161C8" w:rsidRDefault="00D161C8">
      <w:r>
        <w:t xml:space="preserve">Facciamo </w:t>
      </w:r>
      <w:r w:rsidR="009B1ACE">
        <w:t xml:space="preserve">un </w:t>
      </w:r>
      <w:r>
        <w:t>esempi</w:t>
      </w:r>
      <w:r w:rsidR="009B1ACE">
        <w:t>o</w:t>
      </w:r>
      <w:r>
        <w:t xml:space="preserve"> con dei numeri a caso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023"/>
        <w:gridCol w:w="3119"/>
      </w:tblGrid>
      <w:tr w:rsidR="00D161C8" w14:paraId="006196DB" w14:textId="77777777" w:rsidTr="009534BE">
        <w:tc>
          <w:tcPr>
            <w:tcW w:w="3209" w:type="dxa"/>
            <w:shd w:val="clear" w:color="auto" w:fill="D0CECE" w:themeFill="background2" w:themeFillShade="E6"/>
          </w:tcPr>
          <w:p w14:paraId="0DEAAB73" w14:textId="77777777" w:rsidR="00D161C8" w:rsidRDefault="00D161C8"/>
        </w:tc>
        <w:tc>
          <w:tcPr>
            <w:tcW w:w="3023" w:type="dxa"/>
            <w:shd w:val="clear" w:color="auto" w:fill="D0CECE" w:themeFill="background2" w:themeFillShade="E6"/>
          </w:tcPr>
          <w:p w14:paraId="7EC02028" w14:textId="1B023A66" w:rsidR="00D161C8" w:rsidRDefault="00D161C8">
            <w:r>
              <w:t>Entrate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2B9EA661" w14:textId="3E63DCBB" w:rsidR="00D161C8" w:rsidRDefault="00D161C8">
            <w:r>
              <w:t>Uscite</w:t>
            </w:r>
          </w:p>
        </w:tc>
      </w:tr>
      <w:tr w:rsidR="00D161C8" w14:paraId="3D166032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3AE50B34" w14:textId="5E5D924D" w:rsidR="00D161C8" w:rsidRDefault="00D161C8">
            <w:r>
              <w:t>Partite correnti</w:t>
            </w:r>
          </w:p>
        </w:tc>
        <w:tc>
          <w:tcPr>
            <w:tcW w:w="3023" w:type="dxa"/>
          </w:tcPr>
          <w:p w14:paraId="7FEB93D8" w14:textId="0842FE1E" w:rsidR="00D161C8" w:rsidRDefault="00D161C8">
            <w:r>
              <w:t>1000 (es. Esportazioni)</w:t>
            </w:r>
          </w:p>
        </w:tc>
        <w:tc>
          <w:tcPr>
            <w:tcW w:w="3119" w:type="dxa"/>
          </w:tcPr>
          <w:p w14:paraId="0B93B86A" w14:textId="4327F3F8" w:rsidR="00D161C8" w:rsidRDefault="00D161C8">
            <w:r>
              <w:t>900 (es. Importazioni)</w:t>
            </w:r>
          </w:p>
        </w:tc>
      </w:tr>
      <w:tr w:rsidR="00D161C8" w14:paraId="1FC9B18A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1E754604" w14:textId="35F611C0" w:rsidR="00D161C8" w:rsidRDefault="00D161C8">
            <w:r>
              <w:t>Conto capitale</w:t>
            </w:r>
          </w:p>
        </w:tc>
        <w:tc>
          <w:tcPr>
            <w:tcW w:w="3023" w:type="dxa"/>
          </w:tcPr>
          <w:p w14:paraId="140BD7DB" w14:textId="561B2DBE" w:rsidR="00D161C8" w:rsidRDefault="009534BE">
            <w:r>
              <w:t xml:space="preserve">   </w:t>
            </w:r>
            <w:r w:rsidR="00D161C8">
              <w:t>0</w:t>
            </w:r>
          </w:p>
        </w:tc>
        <w:tc>
          <w:tcPr>
            <w:tcW w:w="3119" w:type="dxa"/>
          </w:tcPr>
          <w:p w14:paraId="25649C37" w14:textId="2523BD41" w:rsidR="00D161C8" w:rsidRDefault="009534BE">
            <w:r>
              <w:t xml:space="preserve"> </w:t>
            </w:r>
            <w:r w:rsidR="00D161C8">
              <w:t>50</w:t>
            </w:r>
          </w:p>
        </w:tc>
      </w:tr>
      <w:tr w:rsidR="00D161C8" w14:paraId="03C9651D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6187553D" w14:textId="2FA58F5C" w:rsidR="00D161C8" w:rsidRDefault="00D161C8">
            <w:r>
              <w:t>Conto finanziario</w:t>
            </w:r>
          </w:p>
          <w:p w14:paraId="17ACC085" w14:textId="0D1B6DF6" w:rsidR="00D161C8" w:rsidRDefault="00D161C8">
            <w:r w:rsidRPr="00D161C8">
              <w:rPr>
                <w:color w:val="FF0000"/>
              </w:rPr>
              <w:t xml:space="preserve">(escl.sa la </w:t>
            </w:r>
            <w:proofErr w:type="spellStart"/>
            <w:r w:rsidRPr="00D161C8">
              <w:rPr>
                <w:color w:val="FF0000"/>
              </w:rPr>
              <w:t>Var</w:t>
            </w:r>
            <w:proofErr w:type="spellEnd"/>
            <w:r w:rsidRPr="00D161C8">
              <w:rPr>
                <w:color w:val="FF0000"/>
              </w:rPr>
              <w:t xml:space="preserve"> RU della BC)</w:t>
            </w:r>
          </w:p>
        </w:tc>
        <w:tc>
          <w:tcPr>
            <w:tcW w:w="3023" w:type="dxa"/>
          </w:tcPr>
          <w:p w14:paraId="5962696F" w14:textId="6BB6AD95" w:rsidR="00D161C8" w:rsidRDefault="009534BE" w:rsidP="00D161C8">
            <w:pPr>
              <w:ind w:left="709" w:hanging="709"/>
            </w:pPr>
            <w:r>
              <w:t xml:space="preserve"> </w:t>
            </w:r>
            <w:r w:rsidR="00D161C8">
              <w:t xml:space="preserve">300 (es. Vendita di </w:t>
            </w:r>
            <w:proofErr w:type="spellStart"/>
            <w:r w:rsidR="00D161C8">
              <w:t>att.fin</w:t>
            </w:r>
            <w:proofErr w:type="spellEnd"/>
            <w:r w:rsidR="00D161C8">
              <w:t>.</w:t>
            </w:r>
            <w:r>
              <w:t xml:space="preserve"> </w:t>
            </w:r>
            <w:r w:rsidR="00D161C8">
              <w:t>estere da residenti)</w:t>
            </w:r>
            <w:r>
              <w:t xml:space="preserve"> </w:t>
            </w:r>
          </w:p>
        </w:tc>
        <w:tc>
          <w:tcPr>
            <w:tcW w:w="3119" w:type="dxa"/>
          </w:tcPr>
          <w:p w14:paraId="2F73AD3A" w14:textId="36BCE8FD" w:rsidR="00D161C8" w:rsidRDefault="00D161C8" w:rsidP="00D161C8">
            <w:pPr>
              <w:ind w:left="709" w:hanging="709"/>
            </w:pPr>
            <w:r>
              <w:t xml:space="preserve">375 (es. Acquisto di </w:t>
            </w:r>
            <w:proofErr w:type="spellStart"/>
            <w:r>
              <w:t>att.fin</w:t>
            </w:r>
            <w:proofErr w:type="spellEnd"/>
            <w:r>
              <w:t xml:space="preserve">. estere da residenti) </w:t>
            </w:r>
          </w:p>
        </w:tc>
      </w:tr>
      <w:tr w:rsidR="00D161C8" w14:paraId="729F14D2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6038B13F" w14:textId="036A3C37" w:rsidR="00D161C8" w:rsidRDefault="00D161C8">
            <w:r>
              <w:t>Totale</w:t>
            </w:r>
          </w:p>
        </w:tc>
        <w:tc>
          <w:tcPr>
            <w:tcW w:w="3023" w:type="dxa"/>
          </w:tcPr>
          <w:p w14:paraId="79F4A210" w14:textId="03E10487" w:rsidR="00D161C8" w:rsidRDefault="00D161C8">
            <w:r>
              <w:t>1300</w:t>
            </w:r>
          </w:p>
        </w:tc>
        <w:tc>
          <w:tcPr>
            <w:tcW w:w="3119" w:type="dxa"/>
          </w:tcPr>
          <w:p w14:paraId="38FA3A65" w14:textId="728B0AC1" w:rsidR="00D161C8" w:rsidRDefault="00D161C8">
            <w:r>
              <w:t>1325</w:t>
            </w:r>
          </w:p>
        </w:tc>
      </w:tr>
      <w:tr w:rsidR="00D161C8" w14:paraId="49157639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1CEF3CEB" w14:textId="65B384D5" w:rsidR="00D161C8" w:rsidRDefault="00D161C8">
            <w:r>
              <w:t>Saldo</w:t>
            </w:r>
          </w:p>
        </w:tc>
        <w:tc>
          <w:tcPr>
            <w:tcW w:w="3023" w:type="dxa"/>
          </w:tcPr>
          <w:p w14:paraId="2100D665" w14:textId="5A2E2BFB" w:rsidR="00D161C8" w:rsidRDefault="009534BE">
            <w:r>
              <w:t xml:space="preserve"> </w:t>
            </w:r>
            <w:r w:rsidR="00AE6EAD">
              <w:t>25 (negativo)</w:t>
            </w:r>
          </w:p>
        </w:tc>
        <w:tc>
          <w:tcPr>
            <w:tcW w:w="3119" w:type="dxa"/>
          </w:tcPr>
          <w:p w14:paraId="382D9E0F" w14:textId="3FF71C1F" w:rsidR="00D161C8" w:rsidRDefault="00D161C8" w:rsidP="00D161C8">
            <w:pPr>
              <w:ind w:left="45"/>
            </w:pPr>
          </w:p>
        </w:tc>
      </w:tr>
    </w:tbl>
    <w:p w14:paraId="0C644708" w14:textId="77777777" w:rsidR="00AE6EAD" w:rsidRDefault="00AE6EAD"/>
    <w:p w14:paraId="5C52E698" w14:textId="057FA186" w:rsidR="009B1ACE" w:rsidRDefault="00D161C8">
      <w:r>
        <w:t xml:space="preserve">In </w:t>
      </w:r>
      <w:proofErr w:type="spellStart"/>
      <w:r>
        <w:t>qs</w:t>
      </w:r>
      <w:proofErr w:type="spellEnd"/>
      <w:r>
        <w:t xml:space="preserve"> caso (avendo escluso la </w:t>
      </w:r>
      <w:proofErr w:type="spellStart"/>
      <w:r>
        <w:t>Var</w:t>
      </w:r>
      <w:proofErr w:type="spellEnd"/>
      <w:r>
        <w:t xml:space="preserve"> RU dal computo) le uscite superano le entrate, ossia il saldo è negativo per 25</w:t>
      </w:r>
      <w:r w:rsidR="009B1ACE">
        <w:t xml:space="preserve">. </w:t>
      </w:r>
    </w:p>
    <w:p w14:paraId="2B5200ED" w14:textId="627FDD74" w:rsidR="00AE6EAD" w:rsidRDefault="009B1ACE">
      <w:r>
        <w:t xml:space="preserve">Questo saldo corrisponde alla </w:t>
      </w:r>
      <w:proofErr w:type="spellStart"/>
      <w:r>
        <w:t>Var</w:t>
      </w:r>
      <w:proofErr w:type="spellEnd"/>
      <w:r>
        <w:t xml:space="preserve"> RU</w:t>
      </w:r>
      <w:r w:rsidR="00AE6EAD">
        <w:t xml:space="preserve">: che sono dunque negative, pari a -25. </w:t>
      </w:r>
      <w:r w:rsidR="00AE6EAD" w:rsidRPr="009534BE">
        <w:rPr>
          <w:b/>
          <w:bCs/>
          <w:color w:val="FF0000"/>
        </w:rPr>
        <w:t>L’uscita dalle RU (ad es., di dollari o oro) implica che entrano euro pari a 25</w:t>
      </w:r>
      <w:r w:rsidR="00AE6EAD" w:rsidRPr="009534BE">
        <w:rPr>
          <w:color w:val="FF0000"/>
        </w:rPr>
        <w:t xml:space="preserve"> </w:t>
      </w:r>
      <w:r w:rsidR="00AE6EAD">
        <w:t>nelle casse della BC: questo viene registrato con il segno + tra le entrate</w:t>
      </w:r>
    </w:p>
    <w:p w14:paraId="3FD8A112" w14:textId="11C480D2" w:rsidR="009B1ACE" w:rsidRDefault="009B1ACE">
      <w:r>
        <w:t>Se faccio così, scriverò: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023"/>
        <w:gridCol w:w="3119"/>
      </w:tblGrid>
      <w:tr w:rsidR="009B1ACE" w14:paraId="0A0FE16D" w14:textId="77777777" w:rsidTr="009534BE">
        <w:tc>
          <w:tcPr>
            <w:tcW w:w="3209" w:type="dxa"/>
            <w:shd w:val="clear" w:color="auto" w:fill="D0CECE" w:themeFill="background2" w:themeFillShade="E6"/>
          </w:tcPr>
          <w:p w14:paraId="7D13F540" w14:textId="77777777" w:rsidR="009B1ACE" w:rsidRDefault="009B1ACE" w:rsidP="00CD04BB"/>
        </w:tc>
        <w:tc>
          <w:tcPr>
            <w:tcW w:w="3023" w:type="dxa"/>
            <w:shd w:val="clear" w:color="auto" w:fill="D0CECE" w:themeFill="background2" w:themeFillShade="E6"/>
          </w:tcPr>
          <w:p w14:paraId="01B48832" w14:textId="77777777" w:rsidR="009B1ACE" w:rsidRDefault="009B1ACE" w:rsidP="00CD04BB">
            <w:r>
              <w:t>Entrate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05D9A808" w14:textId="77777777" w:rsidR="009B1ACE" w:rsidRDefault="009B1ACE" w:rsidP="00CD04BB">
            <w:r>
              <w:t>Uscite</w:t>
            </w:r>
          </w:p>
        </w:tc>
      </w:tr>
      <w:tr w:rsidR="009B1ACE" w14:paraId="16E8D014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1E47C4A5" w14:textId="77777777" w:rsidR="009B1ACE" w:rsidRDefault="009B1ACE" w:rsidP="00CD04BB">
            <w:r>
              <w:t>Partite correnti</w:t>
            </w:r>
          </w:p>
        </w:tc>
        <w:tc>
          <w:tcPr>
            <w:tcW w:w="3023" w:type="dxa"/>
          </w:tcPr>
          <w:p w14:paraId="424F9F0C" w14:textId="77777777" w:rsidR="009B1ACE" w:rsidRDefault="009B1ACE" w:rsidP="00CD04BB">
            <w:r>
              <w:t>1000 (es. Esportazioni)</w:t>
            </w:r>
          </w:p>
        </w:tc>
        <w:tc>
          <w:tcPr>
            <w:tcW w:w="3119" w:type="dxa"/>
          </w:tcPr>
          <w:p w14:paraId="03956FA5" w14:textId="77777777" w:rsidR="009B1ACE" w:rsidRDefault="009B1ACE" w:rsidP="00CD04BB">
            <w:r>
              <w:t>900 (es. Importazioni)</w:t>
            </w:r>
          </w:p>
        </w:tc>
      </w:tr>
      <w:tr w:rsidR="009B1ACE" w14:paraId="2DFA06EB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7C835F83" w14:textId="77777777" w:rsidR="009B1ACE" w:rsidRDefault="009B1ACE" w:rsidP="00CD04BB">
            <w:r>
              <w:t>Conto capitale</w:t>
            </w:r>
          </w:p>
        </w:tc>
        <w:tc>
          <w:tcPr>
            <w:tcW w:w="3023" w:type="dxa"/>
          </w:tcPr>
          <w:p w14:paraId="56F41308" w14:textId="77777777" w:rsidR="009B1ACE" w:rsidRDefault="009B1ACE" w:rsidP="00CD04BB">
            <w:r>
              <w:t>0</w:t>
            </w:r>
          </w:p>
        </w:tc>
        <w:tc>
          <w:tcPr>
            <w:tcW w:w="3119" w:type="dxa"/>
          </w:tcPr>
          <w:p w14:paraId="6C8B1037" w14:textId="540D813C" w:rsidR="009B1ACE" w:rsidRDefault="009534BE" w:rsidP="00CD04BB">
            <w:r>
              <w:t xml:space="preserve"> </w:t>
            </w:r>
            <w:r w:rsidR="009B1ACE">
              <w:t>50</w:t>
            </w:r>
          </w:p>
        </w:tc>
      </w:tr>
      <w:tr w:rsidR="009B1ACE" w14:paraId="1E46C31D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6BE81F70" w14:textId="77777777" w:rsidR="009B1ACE" w:rsidRDefault="009B1ACE" w:rsidP="00CD04BB">
            <w:r>
              <w:t>Conto finanziario</w:t>
            </w:r>
          </w:p>
          <w:p w14:paraId="430B0320" w14:textId="0FB694ED" w:rsidR="009B1ACE" w:rsidRDefault="009B1ACE" w:rsidP="00CD04BB"/>
        </w:tc>
        <w:tc>
          <w:tcPr>
            <w:tcW w:w="3023" w:type="dxa"/>
          </w:tcPr>
          <w:p w14:paraId="0491D4F6" w14:textId="17320CF7" w:rsidR="009B1ACE" w:rsidRDefault="009B1ACE" w:rsidP="00CD04BB">
            <w:pPr>
              <w:ind w:left="709" w:hanging="709"/>
            </w:pPr>
            <w:r>
              <w:t xml:space="preserve">300 (es. Vendita di </w:t>
            </w:r>
            <w:proofErr w:type="spellStart"/>
            <w:r>
              <w:t>att.fin</w:t>
            </w:r>
            <w:proofErr w:type="spellEnd"/>
            <w:r>
              <w:t>.</w:t>
            </w:r>
            <w:r w:rsidR="009534BE">
              <w:t xml:space="preserve"> </w:t>
            </w:r>
            <w:r>
              <w:t>estere da residenti)</w:t>
            </w:r>
          </w:p>
          <w:p w14:paraId="1883AAC9" w14:textId="419A35C4" w:rsidR="00AE6EAD" w:rsidRDefault="009534BE" w:rsidP="00CD04BB">
            <w:pPr>
              <w:ind w:left="709" w:hanging="709"/>
            </w:pPr>
            <w:r>
              <w:t xml:space="preserve"> </w:t>
            </w:r>
            <w:proofErr w:type="gramStart"/>
            <w:r w:rsidR="00AE6EAD">
              <w:t>25  (</w:t>
            </w:r>
            <w:proofErr w:type="gramEnd"/>
            <w:r w:rsidR="00AE6EAD">
              <w:t>Diminuzione di RU)</w:t>
            </w:r>
          </w:p>
        </w:tc>
        <w:tc>
          <w:tcPr>
            <w:tcW w:w="3119" w:type="dxa"/>
          </w:tcPr>
          <w:p w14:paraId="32943AE2" w14:textId="77777777" w:rsidR="009B1ACE" w:rsidRDefault="009B1ACE" w:rsidP="00CD04BB">
            <w:pPr>
              <w:ind w:left="709" w:hanging="709"/>
            </w:pPr>
            <w:r>
              <w:t xml:space="preserve">375 (es. Acquisto di </w:t>
            </w:r>
            <w:proofErr w:type="spellStart"/>
            <w:r>
              <w:t>att.fin</w:t>
            </w:r>
            <w:proofErr w:type="spellEnd"/>
            <w:r>
              <w:t xml:space="preserve">. estere da residenti) </w:t>
            </w:r>
          </w:p>
          <w:p w14:paraId="0E3B916D" w14:textId="7DF04407" w:rsidR="009B1ACE" w:rsidRDefault="009B1ACE" w:rsidP="00CD04BB">
            <w:pPr>
              <w:ind w:left="709" w:hanging="709"/>
            </w:pPr>
          </w:p>
        </w:tc>
      </w:tr>
      <w:tr w:rsidR="009B1ACE" w14:paraId="6082FB90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1BB7F213" w14:textId="77777777" w:rsidR="009B1ACE" w:rsidRDefault="009B1ACE" w:rsidP="00CD04BB">
            <w:r>
              <w:t>Totale</w:t>
            </w:r>
          </w:p>
        </w:tc>
        <w:tc>
          <w:tcPr>
            <w:tcW w:w="3023" w:type="dxa"/>
          </w:tcPr>
          <w:p w14:paraId="7ACE81C4" w14:textId="296F4D6F" w:rsidR="009B1ACE" w:rsidRDefault="009B1ACE" w:rsidP="00CD04BB">
            <w:r>
              <w:t>13</w:t>
            </w:r>
            <w:r w:rsidR="00AE6EAD">
              <w:t>25</w:t>
            </w:r>
          </w:p>
        </w:tc>
        <w:tc>
          <w:tcPr>
            <w:tcW w:w="3119" w:type="dxa"/>
          </w:tcPr>
          <w:p w14:paraId="5F552540" w14:textId="0B51109D" w:rsidR="009B1ACE" w:rsidRDefault="009B1ACE" w:rsidP="00CD04BB">
            <w:r>
              <w:t>13</w:t>
            </w:r>
            <w:r w:rsidR="00AE6EAD">
              <w:t>25</w:t>
            </w:r>
          </w:p>
        </w:tc>
      </w:tr>
      <w:tr w:rsidR="009B1ACE" w14:paraId="58242DEF" w14:textId="77777777" w:rsidTr="009534BE">
        <w:tc>
          <w:tcPr>
            <w:tcW w:w="3209" w:type="dxa"/>
            <w:shd w:val="clear" w:color="auto" w:fill="D9E2F3" w:themeFill="accent1" w:themeFillTint="33"/>
          </w:tcPr>
          <w:p w14:paraId="1BF9B20F" w14:textId="77777777" w:rsidR="009B1ACE" w:rsidRDefault="009B1ACE" w:rsidP="00CD04BB">
            <w:r>
              <w:t>Saldo</w:t>
            </w:r>
          </w:p>
        </w:tc>
        <w:tc>
          <w:tcPr>
            <w:tcW w:w="3023" w:type="dxa"/>
          </w:tcPr>
          <w:p w14:paraId="5530AEC2" w14:textId="0B05D525" w:rsidR="009B1ACE" w:rsidRDefault="009B1ACE" w:rsidP="00CD04BB">
            <w:r>
              <w:t>0</w:t>
            </w:r>
          </w:p>
        </w:tc>
        <w:tc>
          <w:tcPr>
            <w:tcW w:w="3119" w:type="dxa"/>
          </w:tcPr>
          <w:p w14:paraId="47AD22FD" w14:textId="0907CB10" w:rsidR="009B1ACE" w:rsidRDefault="009B1ACE" w:rsidP="00CD04BB">
            <w:pPr>
              <w:ind w:left="45"/>
            </w:pPr>
            <w:r>
              <w:t>0</w:t>
            </w:r>
          </w:p>
        </w:tc>
      </w:tr>
    </w:tbl>
    <w:p w14:paraId="3A8EA0AD" w14:textId="752BDF5F" w:rsidR="009B1ACE" w:rsidRDefault="009B1ACE"/>
    <w:p w14:paraId="2A3086C7" w14:textId="4E54CCC6" w:rsidR="00AE6EAD" w:rsidRDefault="00AE6EAD">
      <w:r>
        <w:t xml:space="preserve">Ovviamente, succederà il contrario (ossia </w:t>
      </w:r>
      <w:proofErr w:type="spellStart"/>
      <w:r>
        <w:t>Var</w:t>
      </w:r>
      <w:proofErr w:type="spellEnd"/>
      <w:r>
        <w:t xml:space="preserve"> RU sarà imputato a destra, tra le uscite, con il segno positivo) se le altre entrate nel complesso superano le altre uscite, ossia se</w:t>
      </w:r>
      <w:r w:rsidR="00752D61">
        <w:t xml:space="preserve"> le</w:t>
      </w:r>
      <w:r>
        <w:t xml:space="preserve"> RU aumentano.</w:t>
      </w:r>
    </w:p>
    <w:p w14:paraId="2640A0F2" w14:textId="77777777" w:rsidR="00752D61" w:rsidRDefault="00752D61"/>
    <w:sectPr w:rsidR="00752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22C3C"/>
    <w:multiLevelType w:val="hybridMultilevel"/>
    <w:tmpl w:val="CDF27AEA"/>
    <w:lvl w:ilvl="0" w:tplc="3F0C345A">
      <w:start w:val="37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093410C"/>
    <w:multiLevelType w:val="hybridMultilevel"/>
    <w:tmpl w:val="52F2A5D2"/>
    <w:lvl w:ilvl="0" w:tplc="A21ED596">
      <w:start w:val="3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C8"/>
    <w:rsid w:val="003E5358"/>
    <w:rsid w:val="00752D61"/>
    <w:rsid w:val="009534BE"/>
    <w:rsid w:val="009B1ACE"/>
    <w:rsid w:val="00AE6EAD"/>
    <w:rsid w:val="00D161C8"/>
    <w:rsid w:val="00D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F84B"/>
  <w15:chartTrackingRefBased/>
  <w15:docId w15:val="{8743C421-4C5B-4BE1-82ED-622C5669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rovelli</dc:creator>
  <cp:keywords/>
  <dc:description/>
  <cp:lastModifiedBy>riccardo rovelli</cp:lastModifiedBy>
  <cp:revision>2</cp:revision>
  <dcterms:created xsi:type="dcterms:W3CDTF">2021-03-05T17:41:00Z</dcterms:created>
  <dcterms:modified xsi:type="dcterms:W3CDTF">2021-03-05T18:24:00Z</dcterms:modified>
</cp:coreProperties>
</file>